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BF" w:rsidRDefault="0043792C" w:rsidP="0043792C">
      <w:pPr>
        <w:pStyle w:val="Heading2"/>
      </w:pPr>
      <w:r>
        <w:t>Discoverabili</w:t>
      </w:r>
      <w:r w:rsidR="00DA66BF">
        <w:t>ty</w:t>
      </w:r>
      <w:r w:rsidR="000D6EF5">
        <w:t xml:space="preserve"> Assessment</w:t>
      </w:r>
    </w:p>
    <w:p w:rsidR="00DA66BF" w:rsidRPr="00DA66BF" w:rsidRDefault="00DA66BF" w:rsidP="00DA66BF"/>
    <w:p w:rsidR="00DA66BF" w:rsidRDefault="00DA66BF" w:rsidP="00DA66BF">
      <w:r>
        <w:t xml:space="preserve">We are </w:t>
      </w:r>
      <w:r w:rsidR="001609B0">
        <w:t xml:space="preserve">using over 20 manually executed </w:t>
      </w:r>
      <w:r>
        <w:t xml:space="preserve">tests to evaluate the discoverability of </w:t>
      </w:r>
      <w:proofErr w:type="spellStart"/>
      <w:r>
        <w:t>digitised</w:t>
      </w:r>
      <w:proofErr w:type="spellEnd"/>
      <w:r>
        <w:t xml:space="preserve"> collections and of individual resources within them</w:t>
      </w:r>
      <w:r w:rsidR="000D6EF5">
        <w:t xml:space="preserve"> both on the open web and within the institution</w:t>
      </w:r>
      <w:r>
        <w:t>. In addition we’ll be conducting a range of automated tests to assess underlying technical characteristics.</w:t>
      </w:r>
    </w:p>
    <w:p w:rsidR="00DA66BF" w:rsidRDefault="00DA66BF" w:rsidP="00DA66BF"/>
    <w:p w:rsidR="000D6EF5" w:rsidRDefault="000D6EF5" w:rsidP="00DA66BF">
      <w:r>
        <w:t>D</w:t>
      </w:r>
      <w:r w:rsidR="00DA66BF">
        <w:t>iscoverability is based on a complex combination of characteristics</w:t>
      </w:r>
      <w:r>
        <w:t xml:space="preserve">, and needs to take of account of differing user styles of information seeking. </w:t>
      </w:r>
    </w:p>
    <w:p w:rsidR="000D6EF5" w:rsidRDefault="000D6EF5" w:rsidP="00DA66BF"/>
    <w:p w:rsidR="001A08B0" w:rsidRPr="00DA66BF" w:rsidRDefault="000D6EF5" w:rsidP="00DA66BF">
      <w:r>
        <w:t xml:space="preserve">Given that </w:t>
      </w:r>
      <w:proofErr w:type="spellStart"/>
      <w:r>
        <w:t>contextualisation</w:t>
      </w:r>
      <w:proofErr w:type="spellEnd"/>
      <w:r>
        <w:t xml:space="preserve">, we expect this basket of tests will provide some important indicators about the relative discoverability of resources and the practical steps that can make a difference.  </w:t>
      </w:r>
    </w:p>
    <w:p w:rsidR="0043792C" w:rsidRPr="001A08B0" w:rsidRDefault="0043792C" w:rsidP="001A08B0"/>
    <w:tbl>
      <w:tblPr>
        <w:tblStyle w:val="TableGrid"/>
        <w:tblW w:w="0" w:type="auto"/>
        <w:tblLook w:val="00BF"/>
      </w:tblPr>
      <w:tblGrid>
        <w:gridCol w:w="5353"/>
        <w:gridCol w:w="1418"/>
        <w:gridCol w:w="1275"/>
      </w:tblGrid>
      <w:tr w:rsidR="001A08B0">
        <w:tc>
          <w:tcPr>
            <w:tcW w:w="5353" w:type="dxa"/>
            <w:shd w:val="clear" w:color="auto" w:fill="D9D9D9" w:themeFill="background1" w:themeFillShade="D9"/>
          </w:tcPr>
          <w:p w:rsidR="001A08B0" w:rsidRPr="007B1EF4" w:rsidRDefault="006805BD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1A08B0" w:rsidRPr="007B1EF4">
              <w:rPr>
                <w:b/>
              </w:rPr>
              <w:t>Test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A08B0" w:rsidRPr="005B6BFE" w:rsidRDefault="001A08B0" w:rsidP="005B6BFE">
            <w:pPr>
              <w:jc w:val="center"/>
              <w:rPr>
                <w:b/>
                <w:sz w:val="20"/>
              </w:rPr>
            </w:pPr>
            <w:r w:rsidRPr="005B6BFE">
              <w:rPr>
                <w:b/>
                <w:sz w:val="20"/>
              </w:rPr>
              <w:t>Collection Level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A08B0" w:rsidRPr="005B6BFE" w:rsidRDefault="001A08B0" w:rsidP="005B6BFE">
            <w:pPr>
              <w:jc w:val="center"/>
              <w:rPr>
                <w:b/>
                <w:sz w:val="20"/>
              </w:rPr>
            </w:pPr>
            <w:r w:rsidRPr="005B6BFE">
              <w:rPr>
                <w:b/>
                <w:sz w:val="20"/>
              </w:rPr>
              <w:t>Resource / Item Level</w:t>
            </w:r>
          </w:p>
        </w:tc>
      </w:tr>
      <w:tr w:rsidR="009D0410">
        <w:tc>
          <w:tcPr>
            <w:tcW w:w="5353" w:type="dxa"/>
            <w:shd w:val="clear" w:color="auto" w:fill="D9D9D9" w:themeFill="background1" w:themeFillShade="D9"/>
          </w:tcPr>
          <w:p w:rsidR="009D0410" w:rsidRDefault="009D0410">
            <w:pPr>
              <w:rPr>
                <w:b/>
              </w:rPr>
            </w:pPr>
            <w:r>
              <w:rPr>
                <w:b/>
              </w:rPr>
              <w:t>Basic Characteristics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D0410" w:rsidRPr="005B6BFE" w:rsidRDefault="009D0410" w:rsidP="005B6B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D0410" w:rsidRPr="005B6BFE" w:rsidRDefault="009D0410" w:rsidP="005B6BFE">
            <w:pPr>
              <w:jc w:val="center"/>
              <w:rPr>
                <w:b/>
                <w:sz w:val="20"/>
              </w:rPr>
            </w:pP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1 - </w:t>
            </w:r>
            <w:r w:rsidR="001A08B0">
              <w:t>URL well formed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1A08B0">
        <w:tc>
          <w:tcPr>
            <w:tcW w:w="5353" w:type="dxa"/>
          </w:tcPr>
          <w:p w:rsidR="001A08B0" w:rsidRDefault="00DA66BF">
            <w:r>
              <w:t>2 - URL resolves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3 - </w:t>
            </w:r>
            <w:r w:rsidR="001A08B0">
              <w:t>Page Title well formed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B43BA1">
        <w:tc>
          <w:tcPr>
            <w:tcW w:w="5353" w:type="dxa"/>
          </w:tcPr>
          <w:p w:rsidR="00B43BA1" w:rsidRDefault="00DA66BF">
            <w:r>
              <w:t xml:space="preserve">4 - </w:t>
            </w:r>
            <w:r w:rsidR="00965A7B">
              <w:t>Google Hit L</w:t>
            </w:r>
            <w:r w:rsidR="00B43BA1">
              <w:t xml:space="preserve">ist description </w:t>
            </w:r>
            <w:r w:rsidR="00965A7B">
              <w:t>effective</w:t>
            </w:r>
          </w:p>
        </w:tc>
        <w:tc>
          <w:tcPr>
            <w:tcW w:w="1418" w:type="dxa"/>
          </w:tcPr>
          <w:p w:rsidR="00B43BA1" w:rsidRPr="005B6BFE" w:rsidRDefault="00965A7B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B43BA1" w:rsidRPr="005B6BFE" w:rsidRDefault="00965A7B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DA66BF">
        <w:tc>
          <w:tcPr>
            <w:tcW w:w="5353" w:type="dxa"/>
          </w:tcPr>
          <w:p w:rsidR="00DA66BF" w:rsidRDefault="00DA66BF">
            <w:r>
              <w:t>5 – Clear Terms of Use</w:t>
            </w:r>
          </w:p>
        </w:tc>
        <w:tc>
          <w:tcPr>
            <w:tcW w:w="1418" w:type="dxa"/>
          </w:tcPr>
          <w:p w:rsidR="00DA66BF" w:rsidRPr="005B6BFE" w:rsidRDefault="00DA66BF" w:rsidP="005B6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DA66BF" w:rsidRPr="005B6BFE" w:rsidRDefault="00DA66BF" w:rsidP="005B6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6 - </w:t>
            </w:r>
            <w:proofErr w:type="spellStart"/>
            <w:r w:rsidR="001A08B0">
              <w:t>Licence</w:t>
            </w:r>
            <w:proofErr w:type="spellEnd"/>
            <w:r w:rsidR="001A08B0">
              <w:t xml:space="preserve"> for use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9D0410">
        <w:tc>
          <w:tcPr>
            <w:tcW w:w="5353" w:type="dxa"/>
            <w:shd w:val="clear" w:color="auto" w:fill="D9D9D9" w:themeFill="background1" w:themeFillShade="D9"/>
          </w:tcPr>
          <w:p w:rsidR="009D0410" w:rsidRPr="009D0410" w:rsidRDefault="009D0410">
            <w:pPr>
              <w:rPr>
                <w:b/>
              </w:rPr>
            </w:pPr>
            <w:r>
              <w:rPr>
                <w:b/>
              </w:rPr>
              <w:t>Reach</w:t>
            </w:r>
            <w:r w:rsidR="00B43BA1">
              <w:rPr>
                <w:b/>
              </w:rPr>
              <w:t xml:space="preserve"> – discoverability on the open web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D0410" w:rsidRPr="005B6BFE" w:rsidRDefault="009D0410" w:rsidP="005B6B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D0410" w:rsidRPr="005B6BFE" w:rsidRDefault="009D0410" w:rsidP="005B6BFE">
            <w:pPr>
              <w:jc w:val="center"/>
              <w:rPr>
                <w:b/>
                <w:sz w:val="20"/>
              </w:rPr>
            </w:pP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7 - </w:t>
            </w:r>
            <w:r w:rsidR="001A08B0">
              <w:t>Title search Google ranking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8 - </w:t>
            </w:r>
            <w:r w:rsidR="001A08B0">
              <w:t>Find</w:t>
            </w:r>
            <w:r>
              <w:t xml:space="preserve"> using ‘sensible’ related terms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9 - </w:t>
            </w:r>
            <w:r w:rsidR="001A08B0">
              <w:t>Citations / links visible to Google in “.ac.uk”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10 - </w:t>
            </w:r>
            <w:r w:rsidR="001A08B0">
              <w:t>Collection has its own Wikipedia entry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11 - </w:t>
            </w:r>
            <w:r w:rsidR="001A08B0">
              <w:t>Wikipedia entry is linked to the collection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12 - </w:t>
            </w:r>
            <w:r w:rsidR="001A08B0">
              <w:t xml:space="preserve">Collection </w:t>
            </w:r>
            <w:proofErr w:type="spellStart"/>
            <w:r w:rsidR="001A08B0">
              <w:t>ref’d</w:t>
            </w:r>
            <w:proofErr w:type="spellEnd"/>
            <w:r w:rsidR="001A08B0">
              <w:t xml:space="preserve"> in another Wikipedia entry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13 - </w:t>
            </w:r>
            <w:r w:rsidR="001A08B0">
              <w:t>That reference is linked to the collection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</w:p>
        </w:tc>
      </w:tr>
      <w:tr w:rsidR="001A08B0">
        <w:tc>
          <w:tcPr>
            <w:tcW w:w="5353" w:type="dxa"/>
          </w:tcPr>
          <w:p w:rsidR="001A08B0" w:rsidRDefault="00DA66BF">
            <w:r>
              <w:t xml:space="preserve">14 - </w:t>
            </w:r>
            <w:r w:rsidR="001A08B0">
              <w:t>Citations visible to Google in Wikipedia</w:t>
            </w:r>
          </w:p>
        </w:tc>
        <w:tc>
          <w:tcPr>
            <w:tcW w:w="1418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1A08B0" w:rsidRPr="005B6BFE" w:rsidRDefault="001A08B0" w:rsidP="005B6BFE">
            <w:pPr>
              <w:jc w:val="center"/>
              <w:rPr>
                <w:sz w:val="20"/>
              </w:rPr>
            </w:pPr>
          </w:p>
        </w:tc>
      </w:tr>
      <w:tr w:rsidR="00B43BA1">
        <w:tc>
          <w:tcPr>
            <w:tcW w:w="5353" w:type="dxa"/>
            <w:shd w:val="clear" w:color="auto" w:fill="D9D9D9" w:themeFill="background1" w:themeFillShade="D9"/>
          </w:tcPr>
          <w:p w:rsidR="00B43BA1" w:rsidRPr="00B43BA1" w:rsidRDefault="00B43BA1">
            <w:pPr>
              <w:rPr>
                <w:b/>
              </w:rPr>
            </w:pPr>
            <w:r>
              <w:rPr>
                <w:b/>
              </w:rPr>
              <w:t xml:space="preserve">Reach </w:t>
            </w:r>
            <w:r w:rsidRPr="00B43BA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B43BA1">
              <w:rPr>
                <w:b/>
              </w:rPr>
              <w:t>discoverability inside the institution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43BA1" w:rsidRPr="005B6BFE" w:rsidRDefault="00B43BA1" w:rsidP="005B6B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43BA1" w:rsidRPr="005B6BFE" w:rsidRDefault="00B43BA1" w:rsidP="005B6BFE">
            <w:pPr>
              <w:jc w:val="center"/>
              <w:rPr>
                <w:b/>
                <w:sz w:val="20"/>
              </w:rPr>
            </w:pPr>
          </w:p>
        </w:tc>
      </w:tr>
      <w:tr w:rsidR="00B43BA1">
        <w:tc>
          <w:tcPr>
            <w:tcW w:w="5353" w:type="dxa"/>
          </w:tcPr>
          <w:p w:rsidR="00B43BA1" w:rsidRDefault="00B43BA1">
            <w:r>
              <w:t xml:space="preserve">* </w:t>
            </w:r>
            <w:r w:rsidR="00DA66BF">
              <w:t xml:space="preserve">15 - </w:t>
            </w:r>
            <w:r>
              <w:t>Listed in library catalogue</w:t>
            </w:r>
          </w:p>
        </w:tc>
        <w:tc>
          <w:tcPr>
            <w:tcW w:w="1418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B43BA1">
        <w:tc>
          <w:tcPr>
            <w:tcW w:w="5353" w:type="dxa"/>
          </w:tcPr>
          <w:p w:rsidR="00B43BA1" w:rsidRDefault="00B43BA1">
            <w:r>
              <w:t xml:space="preserve">* </w:t>
            </w:r>
            <w:r w:rsidR="00DA66BF">
              <w:t xml:space="preserve">16 - </w:t>
            </w:r>
            <w:r>
              <w:t>Listed in library discovery layer</w:t>
            </w:r>
          </w:p>
        </w:tc>
        <w:tc>
          <w:tcPr>
            <w:tcW w:w="1418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B43BA1">
        <w:tc>
          <w:tcPr>
            <w:tcW w:w="5353" w:type="dxa"/>
          </w:tcPr>
          <w:p w:rsidR="00B43BA1" w:rsidRDefault="00B43BA1">
            <w:r>
              <w:t xml:space="preserve">* </w:t>
            </w:r>
            <w:r w:rsidR="00DA66BF">
              <w:t xml:space="preserve">17 - </w:t>
            </w:r>
            <w:r>
              <w:t>Listed on Reading Lists</w:t>
            </w:r>
          </w:p>
        </w:tc>
        <w:tc>
          <w:tcPr>
            <w:tcW w:w="1418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B43BA1">
        <w:tc>
          <w:tcPr>
            <w:tcW w:w="5353" w:type="dxa"/>
            <w:shd w:val="clear" w:color="auto" w:fill="D9D9D9" w:themeFill="background1" w:themeFillShade="D9"/>
          </w:tcPr>
          <w:p w:rsidR="00B43BA1" w:rsidRPr="009D0410" w:rsidRDefault="00B43BA1">
            <w:pPr>
              <w:rPr>
                <w:b/>
              </w:rPr>
            </w:pPr>
            <w:r>
              <w:rPr>
                <w:b/>
              </w:rPr>
              <w:t>Stickiness – engaging users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43BA1" w:rsidRPr="005B6BFE" w:rsidRDefault="00B43BA1" w:rsidP="005B6B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43BA1" w:rsidRPr="005B6BFE" w:rsidRDefault="00B43BA1" w:rsidP="005B6BFE">
            <w:pPr>
              <w:jc w:val="center"/>
              <w:rPr>
                <w:b/>
                <w:sz w:val="20"/>
              </w:rPr>
            </w:pPr>
          </w:p>
        </w:tc>
      </w:tr>
      <w:tr w:rsidR="00B43BA1">
        <w:tc>
          <w:tcPr>
            <w:tcW w:w="5353" w:type="dxa"/>
          </w:tcPr>
          <w:p w:rsidR="00B43BA1" w:rsidRDefault="00DA66BF">
            <w:r>
              <w:t xml:space="preserve">18 - </w:t>
            </w:r>
            <w:r w:rsidR="00B43BA1">
              <w:t xml:space="preserve">Related online forum or </w:t>
            </w:r>
            <w:proofErr w:type="spellStart"/>
            <w:r w:rsidR="00B43BA1">
              <w:t>Facebook</w:t>
            </w:r>
            <w:proofErr w:type="spellEnd"/>
            <w:r w:rsidR="00B43BA1">
              <w:t xml:space="preserve"> page</w:t>
            </w:r>
          </w:p>
        </w:tc>
        <w:tc>
          <w:tcPr>
            <w:tcW w:w="1418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</w:p>
        </w:tc>
      </w:tr>
      <w:tr w:rsidR="00B43BA1">
        <w:tc>
          <w:tcPr>
            <w:tcW w:w="5353" w:type="dxa"/>
          </w:tcPr>
          <w:p w:rsidR="00B43BA1" w:rsidRDefault="00DA66BF">
            <w:r>
              <w:t xml:space="preserve">19 - </w:t>
            </w:r>
            <w:r w:rsidR="00B43BA1">
              <w:t>RSS or other awareness feed</w:t>
            </w:r>
          </w:p>
        </w:tc>
        <w:tc>
          <w:tcPr>
            <w:tcW w:w="1418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</w:p>
        </w:tc>
      </w:tr>
      <w:tr w:rsidR="00B43BA1">
        <w:tc>
          <w:tcPr>
            <w:tcW w:w="5353" w:type="dxa"/>
          </w:tcPr>
          <w:p w:rsidR="00B43BA1" w:rsidRDefault="00DA66BF">
            <w:r>
              <w:t xml:space="preserve">20 - </w:t>
            </w:r>
            <w:r w:rsidR="00B43BA1">
              <w:t>FAQ or guide openly available online</w:t>
            </w:r>
          </w:p>
        </w:tc>
        <w:tc>
          <w:tcPr>
            <w:tcW w:w="1418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</w:p>
        </w:tc>
      </w:tr>
      <w:tr w:rsidR="00B43BA1">
        <w:tc>
          <w:tcPr>
            <w:tcW w:w="5353" w:type="dxa"/>
          </w:tcPr>
          <w:p w:rsidR="00B43BA1" w:rsidRDefault="00DA66BF">
            <w:r>
              <w:t xml:space="preserve">21 - </w:t>
            </w:r>
            <w:r w:rsidR="00B43BA1">
              <w:t>Feedback mechanism offered online</w:t>
            </w:r>
          </w:p>
        </w:tc>
        <w:tc>
          <w:tcPr>
            <w:tcW w:w="1418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B43BA1">
        <w:tc>
          <w:tcPr>
            <w:tcW w:w="5353" w:type="dxa"/>
          </w:tcPr>
          <w:p w:rsidR="00B43BA1" w:rsidRDefault="00DA66BF">
            <w:r>
              <w:t xml:space="preserve">22 - </w:t>
            </w:r>
            <w:r w:rsidR="00B43BA1">
              <w:t xml:space="preserve">Grabbing a citation made easy </w:t>
            </w:r>
          </w:p>
        </w:tc>
        <w:tc>
          <w:tcPr>
            <w:tcW w:w="1418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</w:tr>
      <w:tr w:rsidR="00B43BA1">
        <w:tc>
          <w:tcPr>
            <w:tcW w:w="5353" w:type="dxa"/>
          </w:tcPr>
          <w:p w:rsidR="00B43BA1" w:rsidRDefault="00DA66BF">
            <w:r>
              <w:t xml:space="preserve">23 - </w:t>
            </w:r>
            <w:proofErr w:type="spellStart"/>
            <w:r w:rsidR="00B43BA1">
              <w:t>Publicised</w:t>
            </w:r>
            <w:proofErr w:type="spellEnd"/>
            <w:r w:rsidR="00B43BA1">
              <w:t xml:space="preserve"> Twitter hash tag</w:t>
            </w:r>
          </w:p>
        </w:tc>
        <w:tc>
          <w:tcPr>
            <w:tcW w:w="1418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  <w:r w:rsidRPr="005B6BFE">
              <w:rPr>
                <w:sz w:val="20"/>
              </w:rPr>
              <w:t>Y</w:t>
            </w:r>
          </w:p>
        </w:tc>
        <w:tc>
          <w:tcPr>
            <w:tcW w:w="1275" w:type="dxa"/>
          </w:tcPr>
          <w:p w:rsidR="00B43BA1" w:rsidRPr="005B6BFE" w:rsidRDefault="00B43BA1" w:rsidP="005B6BFE">
            <w:pPr>
              <w:jc w:val="center"/>
              <w:rPr>
                <w:sz w:val="20"/>
              </w:rPr>
            </w:pPr>
          </w:p>
        </w:tc>
      </w:tr>
    </w:tbl>
    <w:p w:rsidR="00827F27" w:rsidRPr="00965A7B" w:rsidRDefault="00965A7B" w:rsidP="00827F27">
      <w:pPr>
        <w:rPr>
          <w:sz w:val="20"/>
        </w:rPr>
      </w:pPr>
      <w:r w:rsidRPr="00965A7B">
        <w:rPr>
          <w:sz w:val="20"/>
        </w:rPr>
        <w:t xml:space="preserve">* To be covered in survey </w:t>
      </w:r>
    </w:p>
    <w:p w:rsidR="0043792C" w:rsidRDefault="0043792C"/>
    <w:sectPr w:rsidR="0043792C" w:rsidSect="004379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3792C"/>
    <w:rsid w:val="000C3CDB"/>
    <w:rsid w:val="000D6EF5"/>
    <w:rsid w:val="001609B0"/>
    <w:rsid w:val="001A08B0"/>
    <w:rsid w:val="002B7750"/>
    <w:rsid w:val="0032249F"/>
    <w:rsid w:val="0043792C"/>
    <w:rsid w:val="004B7B23"/>
    <w:rsid w:val="004C0308"/>
    <w:rsid w:val="004F2769"/>
    <w:rsid w:val="005B6BFE"/>
    <w:rsid w:val="006805BD"/>
    <w:rsid w:val="007A3C02"/>
    <w:rsid w:val="007B1EF4"/>
    <w:rsid w:val="00801E65"/>
    <w:rsid w:val="00827F27"/>
    <w:rsid w:val="00965A7B"/>
    <w:rsid w:val="009D0410"/>
    <w:rsid w:val="00AA4C18"/>
    <w:rsid w:val="00AF7080"/>
    <w:rsid w:val="00B3683D"/>
    <w:rsid w:val="00B43BA1"/>
    <w:rsid w:val="00B87539"/>
    <w:rsid w:val="00BE39C4"/>
    <w:rsid w:val="00BE4032"/>
    <w:rsid w:val="00D31704"/>
    <w:rsid w:val="00DA66BF"/>
    <w:rsid w:val="00F101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F6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C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F66C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5F66C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F66C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7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3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4</DocSecurity>
  <Lines>13</Lines>
  <Paragraphs>3</Paragraphs>
  <ScaleCrop>false</ScaleCrop>
  <Company>Sero Consulting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Kay</dc:creator>
  <cp:lastModifiedBy>Marchionni</cp:lastModifiedBy>
  <cp:revision>2</cp:revision>
  <dcterms:created xsi:type="dcterms:W3CDTF">2013-09-19T09:11:00Z</dcterms:created>
  <dcterms:modified xsi:type="dcterms:W3CDTF">2013-09-19T09:11:00Z</dcterms:modified>
</cp:coreProperties>
</file>